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 xml:space="preserve">  ANEXA 31 C</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r>
        <w:rPr>
          <w:rFonts w:ascii="Times New Roman" w:hAnsi="Times New Roman" w:eastAsia="Calibri" w:cs="Times New Roman"/>
          <w:b/>
          <w:bCs/>
          <w:sz w:val="24"/>
          <w:szCs w:val="24"/>
          <w:lang w:eastAsia="en-US"/>
        </w:rPr>
        <w:t>- model -</w:t>
      </w:r>
    </w:p>
    <w:p>
      <w:pPr>
        <w:spacing w:after="0" w:line="240" w:lineRule="auto"/>
        <w:jc w:val="center"/>
        <w:rPr>
          <w:rFonts w:ascii="Times New Roman" w:hAnsi="Times New Roman" w:eastAsia="Calibri" w:cs="Times New Roman"/>
          <w:sz w:val="24"/>
          <w:szCs w:val="24"/>
          <w:lang w:eastAsia="en-US"/>
        </w:rPr>
      </w:pPr>
    </w:p>
    <w:p>
      <w:pPr>
        <w:spacing w:after="0" w:line="240" w:lineRule="auto"/>
        <w:jc w:val="center"/>
        <w:rPr>
          <w:rFonts w:ascii="Times New Roman" w:hAnsi="Times New Roman" w:eastAsia="Calibri" w:cs="Times New Roman"/>
          <w:b/>
          <w:bCs/>
          <w:sz w:val="24"/>
          <w:szCs w:val="24"/>
          <w:lang w:eastAsia="en-US"/>
        </w:rPr>
      </w:pPr>
      <w:r>
        <w:rPr>
          <w:rFonts w:ascii="Times New Roman" w:hAnsi="Times New Roman" w:eastAsia="Calibri" w:cs="Times New Roman"/>
          <w:b/>
          <w:bCs/>
          <w:sz w:val="24"/>
          <w:szCs w:val="24"/>
          <w:lang w:eastAsia="en-US"/>
        </w:rPr>
        <w:t>RECOMANDARE</w:t>
      </w:r>
    </w:p>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b/>
          <w:bCs/>
          <w:sz w:val="24"/>
          <w:szCs w:val="24"/>
          <w:lang w:eastAsia="en-US"/>
        </w:rPr>
        <w:t>pentru îngrijiri medicale la domiciliu</w:t>
      </w:r>
    </w:p>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Nr. ....../.........*)</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r>
        <w:rPr>
          <w:rFonts w:ascii="Times New Roman" w:hAnsi="Times New Roman" w:eastAsia="Calibri" w:cs="Times New Roman"/>
          <w:b/>
          <w:bCs/>
          <w:sz w:val="24"/>
          <w:szCs w:val="24"/>
          <w:lang w:eastAsia="en-US"/>
        </w:rPr>
        <w:t>I. Furnizorul de servicii medicale din ambulatoriul de specialitate</w:t>
      </w:r>
      <w:r>
        <w:rPr>
          <w:rFonts w:ascii="Times New Roman" w:hAnsi="Times New Roman" w:eastAsia="Calibri" w:cs="Times New Roman"/>
          <w:sz w:val="24"/>
          <w:szCs w:val="24"/>
          <w:lang w:eastAsia="en-US"/>
        </w:rPr>
        <w:t xml:space="preserve"> inclusiv medicul de familie, unitatea sanitară cu paturi (spitalul) ...................... C.U.I.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Nr. contract ........... încheiat cu Casa de Asigurări de Sănătate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1. Numele şi prenumele asiguratului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2. Telefon asigurat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3. Domiciliul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4. Adresa declarată unde se vor acorda serviciile de îngrijiri medicale la domiciliu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5. Codul numeric personal al asiguratului/cod unic de asigurare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6. Diagnosticul medical şi diagnostic boli asociate, cod diagnostic………….</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(Se va nota şi cod diagnostic; pentru înscrierea codului de diagnostic se va utiliza clasificaţia internaţională a maladiilor CIM, revizia a 10-a OMS - Lista cu 999 coduri de boală, în caractere numerice.)</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7. statusul de performanţă ECOG</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ECOG 3 - pacientul este incapabil să desfăşoare activităţi casnice, este imobilizat în fotoliu sau pat peste 50% din timpul zilei, necesită sprijin pentru îngrijirea de bază (igienă şi/sau alimentaţie şi/sau mobilizare)  ................................................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ECOG 4 - pacientul este complet imobilizat la pat, dependent total de altă persoană pentru îngrijirea de bază (igienă, alimentaţie, mobilizare)……………………………</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8. Servicii de îngrijiri recomandate  (periodicitatea/ritmicitatea serviciilor recomandate se stabileşte pentru fiecare tip de serviciu în parte, în concordanţă cu diagnosticul, cu patologia pacientului şi statusul de performanţă ECOG al acestuia) :</w:t>
      </w:r>
    </w:p>
    <w:p>
      <w:pPr>
        <w:spacing w:after="0" w:line="240" w:lineRule="auto"/>
        <w:jc w:val="both"/>
        <w:rPr>
          <w:rFonts w:ascii="Times New Roman" w:hAnsi="Times New Roman" w:eastAsia="Calibri" w:cs="Times New Roman"/>
          <w:sz w:val="24"/>
          <w:szCs w:val="24"/>
          <w:lang w:eastAsia="en-US"/>
        </w:rPr>
      </w:pPr>
    </w:p>
    <w:tbl>
      <w:tblPr>
        <w:tblStyle w:val="4"/>
        <w:tblW w:w="8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6097"/>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29"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Nr. crt.</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Serviciul de îngrijire medicală la domiciliu          </w:t>
            </w:r>
          </w:p>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w:t>
            </w:r>
          </w:p>
        </w:tc>
        <w:tc>
          <w:tcPr>
            <w:tcW w:w="1488"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Periodicitate/Ritmicitate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Măsurarea parametrilor fiziologici: temperatură, respiraţie, puls, TA, diureză şi scaun;                            </w:t>
            </w:r>
          </w:p>
          <w:p>
            <w:pPr>
              <w:numPr>
                <w:ilvl w:val="0"/>
                <w:numId w:val="1"/>
              </w:numPr>
              <w:spacing w:after="0" w:line="240" w:lineRule="auto"/>
              <w:contextualSpacing/>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recomandarea serviciului se face de către medici pentru toţi parametrii prevăzuţi, respectiv: temperatură, respiraţie, puls, TA, diureză şi scaun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vMerge w:val="restart"/>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2.</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Administrarea medicamentelor: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vMerge w:val="continue"/>
          </w:tcPr>
          <w:p>
            <w:pPr>
              <w:spacing w:after="0" w:line="240" w:lineRule="auto"/>
              <w:rPr>
                <w:rFonts w:hint="default" w:ascii="Times New Roman" w:hAnsi="Times New Roman" w:cs="Times New Roman"/>
                <w:sz w:val="22"/>
                <w:szCs w:val="22"/>
                <w:lang w:eastAsia="en-US"/>
              </w:rPr>
            </w:pP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2.1. intramuscular - în afara injecţiilor cu produse de origine umană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vMerge w:val="continue"/>
          </w:tcPr>
          <w:p>
            <w:pPr>
              <w:spacing w:after="0" w:line="240" w:lineRule="auto"/>
              <w:rPr>
                <w:rFonts w:hint="default" w:ascii="Times New Roman" w:hAnsi="Times New Roman" w:cs="Times New Roman"/>
                <w:sz w:val="22"/>
                <w:szCs w:val="22"/>
                <w:lang w:eastAsia="en-US"/>
              </w:rPr>
            </w:pP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2.2. subcutanat - în afara injecţiilor cu produse de origine umană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vMerge w:val="continue"/>
          </w:tcPr>
          <w:p>
            <w:pPr>
              <w:spacing w:after="0" w:line="240" w:lineRule="auto"/>
              <w:rPr>
                <w:rFonts w:hint="default" w:ascii="Times New Roman" w:hAnsi="Times New Roman" w:cs="Times New Roman"/>
                <w:sz w:val="22"/>
                <w:szCs w:val="22"/>
                <w:lang w:eastAsia="en-US"/>
              </w:rPr>
            </w:pP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2.3. intradermic  - în afara injecţiilor cu produse de origine  umană</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vMerge w:val="continue"/>
          </w:tcPr>
          <w:p>
            <w:pPr>
              <w:spacing w:after="0" w:line="240" w:lineRule="auto"/>
              <w:rPr>
                <w:rFonts w:hint="default" w:ascii="Times New Roman" w:hAnsi="Times New Roman" w:cs="Times New Roman"/>
                <w:sz w:val="22"/>
                <w:szCs w:val="22"/>
                <w:lang w:eastAsia="en-US"/>
              </w:rPr>
            </w:pP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2.4. oral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vMerge w:val="continue"/>
          </w:tcPr>
          <w:p>
            <w:pPr>
              <w:spacing w:after="0" w:line="240" w:lineRule="auto"/>
              <w:rPr>
                <w:rFonts w:hint="default" w:ascii="Times New Roman" w:hAnsi="Times New Roman" w:cs="Times New Roman"/>
                <w:sz w:val="22"/>
                <w:szCs w:val="22"/>
                <w:lang w:eastAsia="en-US"/>
              </w:rPr>
            </w:pP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2.5. pe mucoase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3.</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Administrarea medicamentelor intravenos - în afara injecţiilor şi perfuziilor cu produse de origine umană, cu respectarea  legislaţiei în vigoare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4.</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Sondaj vezical, îngrijirea sondei urinare şi administrarea medicamentelor intravezical pe sondă vezicală, la bărbaţi se efectuează de către medicul care îşi desfăşoară activitatea într-o formă legală la furnizorul de îngrijiri medicale la domiciliu</w:t>
            </w:r>
          </w:p>
          <w:p>
            <w:pPr>
              <w:numPr>
                <w:ilvl w:val="0"/>
                <w:numId w:val="1"/>
              </w:numPr>
              <w:spacing w:after="0" w:line="240" w:lineRule="auto"/>
              <w:contextualSpacing/>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implică obligatoriu toaleta locală genitală şi schimbarea sondei fixe la 6 zile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5.</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Administrarea medicamentelor prin perfuzie endovenoasă, cu  respectarea legislaţiei în vigoare, în afara perfuziilor cu produse de origine umană.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6.</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Alimentarea artificială pe gastrostomă/sondă gastrică/nazogastrică şi educarea asiguratului/aparţinătorilor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7.</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Alimentarea pasivă, pentru bolnavii cu tulburări de deglutiţie, inclusiv instruirea asiguratului/aparţinătorului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8.</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Clismă cu scop evacuator /terapeutic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9.</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Spălătură vaginală în cazuri de deficit motor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10.</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Manevre terapeutice pentru evitarea complicaţiilor vasculare ale membrelor inferioare/escarelor de decubit: mobilizare, masaj, aplicaţii medicamentoase, utilizarea colacilor de cauciuc şi a rulourilor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11.</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Manevre terapeutice pentru evitarea complicaţiilor pulmonare: </w:t>
            </w:r>
          </w:p>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posturi de drenaj bronşic, tapotaj, fizioterapie respiratorie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12.</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Îngrijirea plăgilor simple şi/sau suprainfectate/suprimarea firelor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13.</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Îngrijirea escarelor multiple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14.</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Îngrijirea stomelor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15.</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Îngrijirea fistulelor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16.</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Îngrijirea tubului de dren şi instruirea asiguratului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17.</w:t>
            </w:r>
          </w:p>
        </w:tc>
        <w:tc>
          <w:tcPr>
            <w:tcW w:w="6097" w:type="dxa"/>
          </w:tcPr>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Îngrijirea canulei traheale şi instruirea asiguratului        </w:t>
            </w:r>
          </w:p>
        </w:tc>
        <w:tc>
          <w:tcPr>
            <w:tcW w:w="1488" w:type="dxa"/>
          </w:tcPr>
          <w:p>
            <w:pPr>
              <w:spacing w:after="0" w:line="240" w:lineRule="auto"/>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18.</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Aplicarea de ploscă, bazinet, condom urinar, mijloc ajutător pentru absorbţia urinei; este inclus şi mijlocul ajutător pentru absorbţia urinei, minim 2 mijloace ajutătoare pentru absorbţia urinei/zi.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19.</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Alimentaţie parenterală - alimentaţie artificială pe cateter venos central sau periferic; se acordă de către </w:t>
            </w:r>
            <w:r>
              <w:rPr>
                <w:rFonts w:hint="default" w:ascii="Times New Roman" w:hAnsi="Times New Roman" w:eastAsia="Calibri" w:cs="Times New Roman"/>
                <w:sz w:val="22"/>
                <w:szCs w:val="22"/>
                <w:lang w:val="en-US" w:eastAsia="en-US"/>
              </w:rPr>
              <w:t>spitalele cu structuri organizate ca furnizori de îngrijiri la domiciliu autorizate să efectueze acest tip de serviciu.</w:t>
            </w:r>
          </w:p>
          <w:p>
            <w:pPr>
              <w:spacing w:after="0" w:line="240" w:lineRule="auto"/>
              <w:jc w:val="both"/>
              <w:rPr>
                <w:rFonts w:hint="default" w:ascii="Times New Roman" w:hAnsi="Times New Roman" w:cs="Times New Roman"/>
                <w:sz w:val="22"/>
                <w:szCs w:val="22"/>
                <w:lang w:val="en-US" w:eastAsia="en-US"/>
              </w:rPr>
            </w:pPr>
            <w:r>
              <w:rPr>
                <w:rFonts w:hint="default" w:ascii="Times New Roman" w:hAnsi="Times New Roman" w:eastAsia="Calibri" w:cs="Times New Roman"/>
                <w:sz w:val="22"/>
                <w:szCs w:val="22"/>
                <w:lang w:eastAsia="en-US"/>
              </w:rPr>
              <w:t xml:space="preserve">Serviciul nu include alimentele specifice.    </w:t>
            </w:r>
          </w:p>
          <w:p>
            <w:pPr>
              <w:spacing w:after="0" w:line="240" w:lineRule="auto"/>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20.</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Kinetoterapie individuală                        </w:t>
            </w:r>
          </w:p>
          <w:p>
            <w:pPr>
              <w:numPr>
                <w:ilvl w:val="0"/>
                <w:numId w:val="1"/>
              </w:numPr>
              <w:spacing w:after="0" w:line="240" w:lineRule="auto"/>
              <w:contextualSpacing/>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se efectuează doar de fizioterapeutul care îşi desfăşoară activitatea într-o formă legală la furnizorul de îngrijiri medicale la domiciliu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21.</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Logopedie individuală                       </w:t>
            </w:r>
          </w:p>
          <w:p>
            <w:pPr>
              <w:numPr>
                <w:ilvl w:val="0"/>
                <w:numId w:val="1"/>
              </w:numPr>
              <w:spacing w:after="0" w:line="240" w:lineRule="auto"/>
              <w:contextualSpacing/>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se efectuează doar de logopedul, care îşi desfăşoară activitatea într-o formă legală la furnizorul de îngrijiri medicale la domiciliu            </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22.</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val="en-US" w:eastAsia="en-US"/>
              </w:rPr>
              <w:t xml:space="preserve">Masajul limfedemului </w:t>
            </w:r>
          </w:p>
          <w:p>
            <w:pPr>
              <w:numPr>
                <w:ilvl w:val="0"/>
                <w:numId w:val="1"/>
              </w:numPr>
              <w:spacing w:after="0" w:line="240" w:lineRule="auto"/>
              <w:contextualSpacing/>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 xml:space="preserve"> se efectuează doar de fizioterapeutul care îşi desfăşoară activitatea într-o formă legală la furnizorul de îngrijiri medicale la domiciliu și atestă pregătirea profesională în drenaj limfatic manual</w:t>
            </w:r>
          </w:p>
        </w:tc>
        <w:tc>
          <w:tcPr>
            <w:tcW w:w="1488" w:type="dxa"/>
          </w:tcPr>
          <w:p>
            <w:pPr>
              <w:spacing w:after="0" w:line="240" w:lineRule="auto"/>
              <w:jc w:val="both"/>
              <w:rPr>
                <w:rFonts w:hint="default" w:ascii="Times New Roman" w:hAnsi="Times New Roman" w:cs="Times New Roman"/>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23.</w:t>
            </w:r>
          </w:p>
        </w:tc>
        <w:tc>
          <w:tcPr>
            <w:tcW w:w="6097" w:type="dxa"/>
          </w:tcPr>
          <w:p>
            <w:pPr>
              <w:spacing w:after="0" w:line="240" w:lineRule="auto"/>
              <w:jc w:val="both"/>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Evaluarea manuală a fecaloamelor</w:t>
            </w:r>
          </w:p>
        </w:tc>
        <w:tc>
          <w:tcPr>
            <w:tcW w:w="1488" w:type="dxa"/>
          </w:tcPr>
          <w:p>
            <w:pPr>
              <w:spacing w:after="0" w:line="240" w:lineRule="auto"/>
              <w:jc w:val="both"/>
              <w:rPr>
                <w:rFonts w:hint="default"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629" w:type="dxa"/>
          </w:tcPr>
          <w:p>
            <w:pPr>
              <w:spacing w:after="0" w:line="240" w:lineRule="auto"/>
              <w:jc w:val="center"/>
              <w:rPr>
                <w:rFonts w:hint="default" w:ascii="Times New Roman" w:hAnsi="Times New Roman" w:cs="Times New Roman"/>
                <w:sz w:val="22"/>
                <w:szCs w:val="22"/>
                <w:lang w:eastAsia="en-US"/>
              </w:rPr>
            </w:pPr>
            <w:r>
              <w:rPr>
                <w:rFonts w:hint="default" w:ascii="Times New Roman" w:hAnsi="Times New Roman" w:eastAsia="Calibri" w:cs="Times New Roman"/>
                <w:sz w:val="22"/>
                <w:szCs w:val="22"/>
                <w:lang w:eastAsia="en-US"/>
              </w:rPr>
              <w:t>24.</w:t>
            </w:r>
          </w:p>
        </w:tc>
        <w:tc>
          <w:tcPr>
            <w:tcW w:w="6097" w:type="dxa"/>
          </w:tcPr>
          <w:p>
            <w:pPr>
              <w:spacing w:after="0" w:line="240" w:lineRule="auto"/>
              <w:rPr>
                <w:rFonts w:hint="default" w:ascii="Times New Roman" w:hAnsi="Times New Roman" w:cs="Times New Roman"/>
                <w:sz w:val="22"/>
                <w:szCs w:val="22"/>
                <w:lang w:val="en-US" w:eastAsia="en-US"/>
              </w:rPr>
            </w:pPr>
            <w:r>
              <w:rPr>
                <w:rFonts w:hint="default" w:ascii="Times New Roman" w:hAnsi="Times New Roman" w:eastAsia="Calibri" w:cs="Times New Roman"/>
                <w:sz w:val="22"/>
                <w:szCs w:val="22"/>
                <w:lang w:eastAsia="en-US"/>
              </w:rPr>
              <w:t>Recoltarea produselor biologice, cu respectarea Normelor tehnice privind gestionarea deşeurilor rezultate din activităţi medicale şi a Metodologiei de culegere a datelor pentru baza naţională de date privind deşeurile rezultate din activităţi medicale aprobate prin Ordinul MS nr. 1226/2012 (</w:t>
            </w:r>
            <w:r>
              <w:rPr>
                <w:rFonts w:hint="default" w:ascii="Times New Roman" w:hAnsi="Times New Roman" w:eastAsia="Calibri" w:cs="Times New Roman"/>
                <w:iCs/>
                <w:sz w:val="22"/>
                <w:szCs w:val="22"/>
                <w:lang w:val="en-US" w:eastAsia="en-US"/>
              </w:rPr>
              <w:t>sânge, urină, materii fecale)</w:t>
            </w:r>
            <w:r>
              <w:rPr>
                <w:rFonts w:hint="default" w:ascii="Times New Roman" w:hAnsi="Times New Roman" w:eastAsia="Calibri" w:cs="Times New Roman"/>
                <w:i/>
                <w:iCs/>
                <w:sz w:val="22"/>
                <w:szCs w:val="22"/>
                <w:lang w:val="en-US" w:eastAsia="en-US"/>
              </w:rPr>
              <w:t>;</w:t>
            </w:r>
          </w:p>
        </w:tc>
        <w:tc>
          <w:tcPr>
            <w:tcW w:w="1488" w:type="dxa"/>
          </w:tcPr>
          <w:p>
            <w:pPr>
              <w:spacing w:after="0" w:line="240" w:lineRule="auto"/>
              <w:rPr>
                <w:rFonts w:hint="default" w:ascii="Times New Roman" w:hAnsi="Times New Roman" w:cs="Times New Roman"/>
                <w:sz w:val="22"/>
                <w:szCs w:val="22"/>
                <w:lang w:eastAsia="en-US"/>
              </w:rPr>
            </w:pPr>
          </w:p>
        </w:tc>
      </w:tr>
    </w:tbl>
    <w:p>
      <w:pPr>
        <w:spacing w:after="0" w:line="240" w:lineRule="auto"/>
        <w:jc w:val="both"/>
        <w:rPr>
          <w:rFonts w:hint="default" w:ascii="Times New Roman" w:hAnsi="Times New Roman" w:eastAsia="Calibri" w:cs="Times New Roman"/>
          <w:sz w:val="22"/>
          <w:szCs w:val="22"/>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9. Durata pentru care asiguratul poate beneficia de îngrijiri medicale la domiciliu**)</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10. Justificarea recomandării privind necesitatea şi oportunitatea acordării îngrijirilor medicale la domiciliu:</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11. Justificare pentru recomandarea unui episod mai mare de 15 zile, dar nu mai mult de 30 de zile</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hint="default" w:ascii="Times New Roman" w:hAnsi="Times New Roman" w:eastAsia="Calibri" w:cs="Times New Roman"/>
          <w:sz w:val="24"/>
          <w:szCs w:val="24"/>
          <w:lang w:val="ro-RO" w:eastAsia="en-US"/>
        </w:rPr>
      </w:pPr>
      <w:r>
        <w:rPr>
          <w:rFonts w:ascii="Times New Roman" w:hAnsi="Times New Roman" w:eastAsia="Calibri" w:cs="Times New Roman"/>
          <w:sz w:val="24"/>
          <w:szCs w:val="24"/>
          <w:lang w:eastAsia="en-US"/>
        </w:rPr>
        <w:t xml:space="preserve">     12. Codul de parafă al medicului</w:t>
      </w:r>
      <w:r>
        <w:rPr>
          <w:rFonts w:hint="default" w:ascii="Times New Roman" w:hAnsi="Times New Roman" w:eastAsia="Calibri" w:cs="Times New Roman"/>
          <w:sz w:val="24"/>
          <w:szCs w:val="24"/>
          <w:lang w:val="ro-RO" w:eastAsia="en-US"/>
        </w:rPr>
        <w:t xml:space="preserve"> ..................................</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13.Date</w:t>
      </w:r>
      <w:r>
        <w:rPr>
          <w:rFonts w:hint="default" w:ascii="Times New Roman" w:hAnsi="Times New Roman" w:eastAsia="Calibri" w:cs="Times New Roman"/>
          <w:sz w:val="24"/>
          <w:szCs w:val="24"/>
          <w:lang w:val="ro-RO" w:eastAsia="en-US"/>
        </w:rPr>
        <w:t xml:space="preserve"> </w:t>
      </w:r>
      <w:r>
        <w:rPr>
          <w:rFonts w:ascii="Times New Roman" w:hAnsi="Times New Roman" w:eastAsia="Calibri" w:cs="Times New Roman"/>
          <w:sz w:val="24"/>
          <w:szCs w:val="24"/>
          <w:lang w:eastAsia="en-US"/>
        </w:rPr>
        <w:t>de contact medic (număr telefon, adresa email):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Data .........................</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Semnătu</w:t>
      </w:r>
      <w:r>
        <w:rPr>
          <w:rFonts w:hint="default" w:ascii="Times New Roman" w:hAnsi="Times New Roman" w:eastAsia="Calibri" w:cs="Times New Roman"/>
          <w:sz w:val="24"/>
          <w:szCs w:val="24"/>
          <w:lang w:val="ro-RO" w:eastAsia="en-US"/>
        </w:rPr>
        <w:t xml:space="preserve">ra </w:t>
      </w:r>
      <w:r>
        <w:rPr>
          <w:rFonts w:ascii="Times New Roman" w:hAnsi="Times New Roman" w:eastAsia="Calibri" w:cs="Times New Roman"/>
          <w:sz w:val="24"/>
          <w:szCs w:val="24"/>
          <w:lang w:eastAsia="en-US"/>
        </w:rPr>
        <w:t xml:space="preserve">şi parafa medicului         </w:t>
      </w:r>
      <w:r>
        <w:rPr>
          <w:rFonts w:hint="default" w:ascii="Times New Roman" w:hAnsi="Times New Roman" w:eastAsia="Calibri" w:cs="Times New Roman"/>
          <w:sz w:val="24"/>
          <w:szCs w:val="24"/>
          <w:lang w:val="ro-RO" w:eastAsia="en-US"/>
        </w:rPr>
        <w:t xml:space="preserve">        </w:t>
      </w:r>
      <w:r>
        <w:rPr>
          <w:rFonts w:ascii="Times New Roman" w:hAnsi="Times New Roman" w:eastAsia="Calibri" w:cs="Times New Roman"/>
          <w:sz w:val="24"/>
          <w:szCs w:val="24"/>
          <w:lang w:eastAsia="en-US"/>
        </w:rPr>
        <w:t xml:space="preserve"> Semnătura şi parafa medicului</w:t>
      </w:r>
    </w:p>
    <w:p>
      <w:pPr>
        <w:spacing w:after="0" w:line="240" w:lineRule="auto"/>
        <w:ind w:left="5640" w:hanging="5640" w:hangingChars="235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care a avut în îngrijire </w:t>
      </w:r>
      <w:r>
        <w:rPr>
          <w:rFonts w:hint="default" w:ascii="Times New Roman" w:hAnsi="Times New Roman" w:eastAsia="Calibri" w:cs="Times New Roman"/>
          <w:sz w:val="24"/>
          <w:szCs w:val="24"/>
          <w:lang w:val="ro-RO" w:eastAsia="en-US"/>
        </w:rPr>
        <w:t>asiguratul</w:t>
      </w:r>
      <w:r>
        <w:rPr>
          <w:rFonts w:ascii="Times New Roman" w:hAnsi="Times New Roman" w:eastAsia="Calibri" w:cs="Times New Roman"/>
          <w:sz w:val="24"/>
          <w:szCs w:val="24"/>
          <w:lang w:eastAsia="en-US"/>
        </w:rPr>
        <w:t xml:space="preserve">           </w:t>
      </w:r>
      <w:r>
        <w:rPr>
          <w:rFonts w:hint="default" w:ascii="Times New Roman" w:hAnsi="Times New Roman" w:eastAsia="Calibri" w:cs="Times New Roman"/>
          <w:sz w:val="24"/>
          <w:szCs w:val="24"/>
          <w:lang w:val="ro-RO" w:eastAsia="en-US"/>
        </w:rPr>
        <w:t xml:space="preserve">    </w:t>
      </w:r>
      <w:r>
        <w:rPr>
          <w:rFonts w:ascii="Times New Roman" w:hAnsi="Times New Roman" w:eastAsia="Calibri" w:cs="Times New Roman"/>
          <w:sz w:val="24"/>
          <w:szCs w:val="24"/>
          <w:lang w:eastAsia="en-US"/>
        </w:rPr>
        <w:t>din ambulatoriul de  specialitate</w:t>
      </w:r>
    </w:p>
    <w:p>
      <w:pPr>
        <w:spacing w:after="0" w:line="240" w:lineRule="auto"/>
        <w:jc w:val="both"/>
        <w:rPr>
          <w:rFonts w:ascii="Times New Roman" w:hAnsi="Times New Roman" w:eastAsia="Calibri" w:cs="Times New Roman"/>
          <w:sz w:val="24"/>
          <w:szCs w:val="24"/>
          <w:lang w:eastAsia="en-US"/>
        </w:rPr>
      </w:pPr>
      <w:r>
        <w:rPr>
          <w:rFonts w:hint="default" w:ascii="Times New Roman" w:hAnsi="Times New Roman" w:eastAsia="Calibri" w:cs="Times New Roman"/>
          <w:sz w:val="24"/>
          <w:szCs w:val="24"/>
          <w:lang w:val="ro-RO" w:eastAsia="en-US"/>
        </w:rPr>
        <w:t xml:space="preserve">internat,  </w:t>
      </w:r>
      <w:r>
        <w:rPr>
          <w:rFonts w:ascii="Times New Roman" w:hAnsi="Times New Roman" w:eastAsia="Calibri" w:cs="Times New Roman"/>
          <w:sz w:val="24"/>
          <w:szCs w:val="24"/>
          <w:lang w:eastAsia="en-US"/>
        </w:rPr>
        <w:t xml:space="preserve">                                                                medicului de familie</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r>
        <w:rPr>
          <w:rFonts w:hint="default" w:ascii="Times New Roman" w:hAnsi="Times New Roman" w:eastAsia="Calibri" w:cs="Times New Roman"/>
          <w:sz w:val="24"/>
          <w:szCs w:val="24"/>
          <w:lang w:val="ro-RO" w:eastAsia="en-US"/>
        </w:rPr>
        <w:t xml:space="preserve">                           ......................................</w:t>
      </w: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Data………………….</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Numele şi prenumele în</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clar şi semnătura asiguratului</w:t>
      </w:r>
      <w:r>
        <w:rPr>
          <w:rFonts w:hint="default" w:ascii="Times New Roman" w:hAnsi="Times New Roman" w:eastAsia="Calibri" w:cs="Times New Roman"/>
          <w:sz w:val="24"/>
          <w:szCs w:val="24"/>
          <w:lang w:val="ro-RO" w:eastAsia="en-US"/>
        </w:rPr>
        <w:t xml:space="preserve"> </w:t>
      </w:r>
      <w:r>
        <w:rPr>
          <w:rFonts w:ascii="Times New Roman" w:hAnsi="Times New Roman" w:eastAsia="Calibri" w:cs="Times New Roman"/>
          <w:sz w:val="24"/>
          <w:szCs w:val="24"/>
          <w:lang w:eastAsia="en-US"/>
        </w:rPr>
        <w:t>aparţinătorului sau</w:t>
      </w:r>
      <w:r>
        <w:rPr>
          <w:rFonts w:hint="default" w:ascii="Times New Roman" w:hAnsi="Times New Roman" w:eastAsia="Calibri" w:cs="Times New Roman"/>
          <w:sz w:val="24"/>
          <w:szCs w:val="24"/>
          <w:lang w:val="ro-RO" w:eastAsia="en-US"/>
        </w:rPr>
        <w:t xml:space="preserve"> </w:t>
      </w:r>
      <w:r>
        <w:rPr>
          <w:rFonts w:ascii="Times New Roman" w:hAnsi="Times New Roman" w:eastAsia="Calibri" w:cs="Times New Roman"/>
          <w:sz w:val="24"/>
          <w:szCs w:val="24"/>
          <w:lang w:eastAsia="en-US"/>
        </w:rPr>
        <w:t>împuternicitului</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bookmarkStart w:id="0" w:name="_GoBack"/>
      <w:bookmarkEnd w:id="0"/>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 Se va completa cu numărul din registrul de consultaţii/foaie de observaţie.</w:t>
      </w:r>
    </w:p>
    <w:p>
      <w:pPr>
        <w:spacing w:after="0" w:line="240" w:lineRule="auto"/>
        <w:jc w:val="both"/>
        <w:rPr>
          <w:rFonts w:ascii="Times New Roman" w:hAnsi="Times New Roman" w:eastAsia="Calibri" w:cs="Times New Roman"/>
          <w:strike/>
          <w:sz w:val="24"/>
          <w:szCs w:val="24"/>
          <w:lang w:eastAsia="en-US"/>
        </w:rPr>
      </w:pPr>
      <w:r>
        <w:rPr>
          <w:rFonts w:ascii="Times New Roman" w:hAnsi="Times New Roman" w:eastAsia="Calibri"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este de maximum 15 zile de îngrijiri. În cazul în care îngrijirile nu sunt acordate în zile consecutive, la calcularea celor 90 de zile, respectiv celor 180 de zile, după caz, în ultimele 11 luni se iau în calcul numai zilele în care s-au acordat îngrijirile. P</w:t>
      </w:r>
      <w:r>
        <w:rPr>
          <w:rFonts w:ascii="Times New Roman" w:hAnsi="Times New Roman" w:eastAsia="Calibri" w:cs="Times New Roman"/>
          <w:iCs/>
          <w:sz w:val="24"/>
          <w:szCs w:val="24"/>
          <w:lang w:eastAsia="en-US"/>
        </w:rPr>
        <w:t xml:space="preserve">acienții </w:t>
      </w:r>
      <w:r>
        <w:rPr>
          <w:rFonts w:ascii="Times New Roman" w:hAnsi="Times New Roman" w:eastAsia="Calibri" w:cs="Times New Roman"/>
          <w:sz w:val="24"/>
          <w:szCs w:val="24"/>
          <w:lang w:eastAsia="en-US"/>
        </w:rPr>
        <w:t>cu vârsta sub 18 ani pot beneficia de 300 de zile de îngrijiri medicale la domiciliu și îngrijri paliative la domiciliu, în ultimele 11 luni.</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NOTĂ:</w:t>
      </w:r>
    </w:p>
    <w:p>
      <w:pPr>
        <w:numPr>
          <w:ilvl w:val="0"/>
          <w:numId w:val="2"/>
        </w:numPr>
        <w:spacing w:after="0" w:line="240" w:lineRule="auto"/>
        <w:ind w:left="0" w:firstLine="300"/>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Termenul de valabilitate al recomandării pentru îngrijiri medicale la domiciliu este de maximum 30 de zile calendaristice de la data emiterii recomandării, fără a lua în calcul ziua în care a fost emisă recomandarea.</w:t>
      </w:r>
    </w:p>
    <w:p>
      <w:pPr>
        <w:numPr>
          <w:ilvl w:val="0"/>
          <w:numId w:val="2"/>
        </w:numPr>
        <w:spacing w:after="0" w:line="240" w:lineRule="auto"/>
        <w:ind w:left="0" w:firstLine="300"/>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Termenul în care asiguratul are obligaţia de a se prezenta/transmite recomandarea prin mijloace de comunicare electronică, poștă sau curierat, casei de asigurări de sănătate în a cărei rază administrativ teritorială solicită să primească aceste servicii, respectiv C.A.S.A.O.P.S.N.A.J.  pentru asigurații aflați în evidența acesteia în cazul în care C.A.S.A.O.P.S.N.A.J.  are încheiate contracte de furnizare de îngrijiri medicale la domiciliu  în raza administrativ teritorială în care asiguratul solicită să primească servicii - pentru certificarea numărului de zile de îngrijire, şi la furnizorul de îngrijiri medicale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r>
        <w:rPr>
          <w:rFonts w:ascii="Times New Roman" w:hAnsi="Times New Roman" w:eastAsia="Calibri" w:cs="Times New Roman"/>
          <w:b/>
          <w:bCs/>
          <w:sz w:val="24"/>
          <w:szCs w:val="24"/>
          <w:lang w:eastAsia="en-US"/>
        </w:rPr>
        <w:t>II.</w:t>
      </w:r>
      <w:r>
        <w:rPr>
          <w:rFonts w:ascii="Times New Roman" w:hAnsi="Times New Roman" w:eastAsia="Calibri" w:cs="Times New Roman"/>
          <w:sz w:val="24"/>
          <w:szCs w:val="24"/>
          <w:lang w:eastAsia="en-US"/>
        </w:rPr>
        <w:t xml:space="preserve"> Casa de Asigurări de Sănătate....................... în a cărei rază administrativ teritorială asiguratul solicită să primească aceste servicii certifică potrivit recomandării un număr de .............. zile de îngrijiri medicale la domiciliu. Pentru asiguraţii aflați în evidența C.A.S.A.O.P.S.N.A.J.  care solicită îngrijiri medicale la domiciliu într-o zonă administrativ-teritorială care nu este acoperită cu furnizori de îngrijiri medicale la domiciliu aflați în relație contractuală cu C.A.S.A.O.P.S.N.A.J. , C.A.S.A.O.P.S.N.A.J.  certifică potrivit recomandării un număr de .............. zile de îngrijiri medicale la domiciliu şi comunică certificarea casei de asigurări de sănătate în a cărei rază administrativ teritorială asiguratul solicită să primească aceste servicii.</w:t>
      </w:r>
    </w:p>
    <w:p>
      <w:pPr>
        <w:spacing w:after="0" w:line="240" w:lineRule="auto"/>
        <w:jc w:val="both"/>
        <w:rPr>
          <w:rFonts w:ascii="Times New Roman" w:hAnsi="Times New Roman" w:eastAsia="Calibri" w:cs="Times New Roman"/>
          <w:sz w:val="24"/>
          <w:szCs w:val="24"/>
          <w:lang w:eastAsia="en-US"/>
        </w:rPr>
      </w:pPr>
    </w:p>
    <w:p>
      <w:pPr>
        <w:spacing w:after="0" w:line="240" w:lineRule="auto"/>
        <w:ind w:left="3840" w:hanging="3840" w:hangingChars="16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Data                                                                                     VIZAT,</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                                                                           .........................</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b/>
          <w:sz w:val="24"/>
          <w:szCs w:val="24"/>
          <w:lang w:eastAsia="en-US"/>
        </w:rPr>
        <w:t xml:space="preserve">    III.</w:t>
      </w:r>
      <w:r>
        <w:rPr>
          <w:rFonts w:ascii="Times New Roman" w:hAnsi="Times New Roman" w:eastAsia="Calibri" w:cs="Times New Roman"/>
          <w:sz w:val="24"/>
          <w:szCs w:val="24"/>
          <w:lang w:eastAsia="en-US"/>
        </w:rPr>
        <w:t xml:space="preserve">  Casa de Asigurări de Sănătate.......................  în a cărei rază administrativ teritorială asiguratul solicită să primescă servicii de îngrijiri medicale la domiciliu/C.A.S.A.O.P.S.N.A.J.  înmânează/transmite lista furnizorilor de îngrijiri medicale la domiciliu cu care se află în relaţie contractuală şi datele de contact ale acestora (adresa completă sediu social, sediu lucrativ şi punct de lucru, telefon/fax, pagină web).</w:t>
      </w:r>
    </w:p>
    <w:p>
      <w:pPr>
        <w:spacing w:after="0" w:line="240" w:lineRule="auto"/>
        <w:jc w:val="both"/>
        <w:rPr>
          <w:rFonts w:ascii="Times New Roman" w:hAnsi="Times New Roman" w:eastAsia="Calibri" w:cs="Times New Roman"/>
          <w:sz w:val="24"/>
          <w:szCs w:val="24"/>
          <w:lang w:eastAsia="en-US"/>
        </w:rPr>
      </w:pPr>
    </w:p>
    <w:p>
      <w:pPr>
        <w:spacing w:after="0" w:line="240" w:lineRule="auto"/>
        <w:ind w:left="3600" w:hanging="3600" w:hangingChars="15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Data                                                              VIZAT,</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r>
        <w:rPr>
          <w:rFonts w:hint="default" w:ascii="Times New Roman" w:hAnsi="Times New Roman" w:eastAsia="Calibri" w:cs="Times New Roman"/>
          <w:sz w:val="24"/>
          <w:szCs w:val="24"/>
          <w:lang w:val="ro-RO" w:eastAsia="en-US"/>
        </w:rPr>
        <w:t xml:space="preserve">                          </w:t>
      </w:r>
      <w:r>
        <w:rPr>
          <w:rFonts w:ascii="Times New Roman" w:hAnsi="Times New Roman" w:eastAsia="Calibri" w:cs="Times New Roman"/>
          <w:sz w:val="24"/>
          <w:szCs w:val="24"/>
          <w:lang w:eastAsia="en-US"/>
        </w:rPr>
        <w:t xml:space="preserve"> .........................</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NOTA: pct. I se completează de medicul care face recomandarea, pct. II şi III se completează de casa de asigurări de sănătate în a cărei rază administrativ teritorială asiguratul solicită să primescă servicii de îngrijiri medicale la domiciliu/ C.A.S.A.O.P.S.N.A.J. . </w:t>
      </w:r>
    </w:p>
    <w:p>
      <w:pPr>
        <w:spacing w:after="0" w:line="240" w:lineRule="auto"/>
        <w:jc w:val="both"/>
        <w:rPr>
          <w:rFonts w:ascii="Times New Roman" w:hAnsi="Times New Roman" w:eastAsia="Calibri" w:cs="Times New Roman"/>
          <w:sz w:val="24"/>
          <w:szCs w:val="24"/>
          <w:lang w:eastAsia="en-US"/>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5F364F"/>
    <w:multiLevelType w:val="multilevel"/>
    <w:tmpl w:val="2A5F364F"/>
    <w:lvl w:ilvl="0" w:tentative="0">
      <w:start w:val="0"/>
      <w:numFmt w:val="bullet"/>
      <w:lvlText w:val="-"/>
      <w:lvlJc w:val="left"/>
      <w:pPr>
        <w:tabs>
          <w:tab w:val="left" w:pos="0"/>
        </w:tabs>
        <w:ind w:left="660" w:hanging="360"/>
      </w:pPr>
      <w:rPr>
        <w:rFonts w:hint="default" w:ascii="Times New Roman" w:hAnsi="Times New Roman" w:cs="Times New Roman"/>
      </w:rPr>
    </w:lvl>
    <w:lvl w:ilvl="1" w:tentative="0">
      <w:start w:val="1"/>
      <w:numFmt w:val="bullet"/>
      <w:lvlText w:val="o"/>
      <w:lvlJc w:val="left"/>
      <w:pPr>
        <w:tabs>
          <w:tab w:val="left" w:pos="0"/>
        </w:tabs>
        <w:ind w:left="1380" w:hanging="360"/>
      </w:pPr>
      <w:rPr>
        <w:rFonts w:hint="default" w:ascii="Courier New" w:hAnsi="Courier New" w:cs="Courier New"/>
      </w:rPr>
    </w:lvl>
    <w:lvl w:ilvl="2" w:tentative="0">
      <w:start w:val="1"/>
      <w:numFmt w:val="bullet"/>
      <w:lvlText w:val=""/>
      <w:lvlJc w:val="left"/>
      <w:pPr>
        <w:tabs>
          <w:tab w:val="left" w:pos="0"/>
        </w:tabs>
        <w:ind w:left="2100" w:hanging="360"/>
      </w:pPr>
      <w:rPr>
        <w:rFonts w:hint="default" w:ascii="Wingdings" w:hAnsi="Wingdings" w:cs="Wingdings"/>
      </w:rPr>
    </w:lvl>
    <w:lvl w:ilvl="3" w:tentative="0">
      <w:start w:val="1"/>
      <w:numFmt w:val="bullet"/>
      <w:lvlText w:val=""/>
      <w:lvlJc w:val="left"/>
      <w:pPr>
        <w:tabs>
          <w:tab w:val="left" w:pos="0"/>
        </w:tabs>
        <w:ind w:left="2820" w:hanging="360"/>
      </w:pPr>
      <w:rPr>
        <w:rFonts w:hint="default" w:ascii="Symbol" w:hAnsi="Symbol" w:cs="Symbol"/>
      </w:rPr>
    </w:lvl>
    <w:lvl w:ilvl="4" w:tentative="0">
      <w:start w:val="1"/>
      <w:numFmt w:val="bullet"/>
      <w:lvlText w:val="o"/>
      <w:lvlJc w:val="left"/>
      <w:pPr>
        <w:tabs>
          <w:tab w:val="left" w:pos="0"/>
        </w:tabs>
        <w:ind w:left="3540" w:hanging="360"/>
      </w:pPr>
      <w:rPr>
        <w:rFonts w:hint="default" w:ascii="Courier New" w:hAnsi="Courier New" w:cs="Courier New"/>
      </w:rPr>
    </w:lvl>
    <w:lvl w:ilvl="5" w:tentative="0">
      <w:start w:val="1"/>
      <w:numFmt w:val="bullet"/>
      <w:lvlText w:val=""/>
      <w:lvlJc w:val="left"/>
      <w:pPr>
        <w:tabs>
          <w:tab w:val="left" w:pos="0"/>
        </w:tabs>
        <w:ind w:left="4260" w:hanging="360"/>
      </w:pPr>
      <w:rPr>
        <w:rFonts w:hint="default" w:ascii="Wingdings" w:hAnsi="Wingdings" w:cs="Wingdings"/>
      </w:rPr>
    </w:lvl>
    <w:lvl w:ilvl="6" w:tentative="0">
      <w:start w:val="1"/>
      <w:numFmt w:val="bullet"/>
      <w:lvlText w:val=""/>
      <w:lvlJc w:val="left"/>
      <w:pPr>
        <w:tabs>
          <w:tab w:val="left" w:pos="0"/>
        </w:tabs>
        <w:ind w:left="4980" w:hanging="360"/>
      </w:pPr>
      <w:rPr>
        <w:rFonts w:hint="default" w:ascii="Symbol" w:hAnsi="Symbol" w:cs="Symbol"/>
      </w:rPr>
    </w:lvl>
    <w:lvl w:ilvl="7" w:tentative="0">
      <w:start w:val="1"/>
      <w:numFmt w:val="bullet"/>
      <w:lvlText w:val="o"/>
      <w:lvlJc w:val="left"/>
      <w:pPr>
        <w:tabs>
          <w:tab w:val="left" w:pos="0"/>
        </w:tabs>
        <w:ind w:left="5700" w:hanging="360"/>
      </w:pPr>
      <w:rPr>
        <w:rFonts w:hint="default" w:ascii="Courier New" w:hAnsi="Courier New" w:cs="Courier New"/>
      </w:rPr>
    </w:lvl>
    <w:lvl w:ilvl="8" w:tentative="0">
      <w:start w:val="1"/>
      <w:numFmt w:val="bullet"/>
      <w:lvlText w:val=""/>
      <w:lvlJc w:val="left"/>
      <w:pPr>
        <w:tabs>
          <w:tab w:val="left" w:pos="0"/>
        </w:tabs>
        <w:ind w:left="6420" w:hanging="360"/>
      </w:pPr>
      <w:rPr>
        <w:rFonts w:hint="default" w:ascii="Wingdings" w:hAnsi="Wingdings" w:cs="Wingdings"/>
      </w:rPr>
    </w:lvl>
  </w:abstractNum>
  <w:abstractNum w:abstractNumId="1">
    <w:nsid w:val="43FA1BE2"/>
    <w:multiLevelType w:val="multilevel"/>
    <w:tmpl w:val="43FA1BE2"/>
    <w:lvl w:ilvl="0" w:tentative="0">
      <w:start w:val="1"/>
      <w:numFmt w:val="decimal"/>
      <w:lvlText w:val="%1."/>
      <w:lvlJc w:val="left"/>
      <w:pPr>
        <w:tabs>
          <w:tab w:val="left" w:pos="0"/>
        </w:tabs>
        <w:ind w:left="660" w:hanging="360"/>
      </w:pPr>
    </w:lvl>
    <w:lvl w:ilvl="1" w:tentative="0">
      <w:start w:val="1"/>
      <w:numFmt w:val="lowerLetter"/>
      <w:lvlText w:val="%2."/>
      <w:lvlJc w:val="left"/>
      <w:pPr>
        <w:tabs>
          <w:tab w:val="left" w:pos="0"/>
        </w:tabs>
        <w:ind w:left="1380" w:hanging="360"/>
      </w:pPr>
    </w:lvl>
    <w:lvl w:ilvl="2" w:tentative="0">
      <w:start w:val="1"/>
      <w:numFmt w:val="lowerRoman"/>
      <w:lvlText w:val="%3."/>
      <w:lvlJc w:val="right"/>
      <w:pPr>
        <w:tabs>
          <w:tab w:val="left" w:pos="0"/>
        </w:tabs>
        <w:ind w:left="2100" w:hanging="180"/>
      </w:pPr>
    </w:lvl>
    <w:lvl w:ilvl="3" w:tentative="0">
      <w:start w:val="1"/>
      <w:numFmt w:val="decimal"/>
      <w:lvlText w:val="%4."/>
      <w:lvlJc w:val="left"/>
      <w:pPr>
        <w:tabs>
          <w:tab w:val="left" w:pos="0"/>
        </w:tabs>
        <w:ind w:left="2820" w:hanging="360"/>
      </w:pPr>
    </w:lvl>
    <w:lvl w:ilvl="4" w:tentative="0">
      <w:start w:val="1"/>
      <w:numFmt w:val="lowerLetter"/>
      <w:lvlText w:val="%5."/>
      <w:lvlJc w:val="left"/>
      <w:pPr>
        <w:tabs>
          <w:tab w:val="left" w:pos="0"/>
        </w:tabs>
        <w:ind w:left="3540" w:hanging="360"/>
      </w:pPr>
    </w:lvl>
    <w:lvl w:ilvl="5" w:tentative="0">
      <w:start w:val="1"/>
      <w:numFmt w:val="lowerRoman"/>
      <w:lvlText w:val="%6."/>
      <w:lvlJc w:val="right"/>
      <w:pPr>
        <w:tabs>
          <w:tab w:val="left" w:pos="0"/>
        </w:tabs>
        <w:ind w:left="4260" w:hanging="180"/>
      </w:pPr>
    </w:lvl>
    <w:lvl w:ilvl="6" w:tentative="0">
      <w:start w:val="1"/>
      <w:numFmt w:val="decimal"/>
      <w:lvlText w:val="%7."/>
      <w:lvlJc w:val="left"/>
      <w:pPr>
        <w:tabs>
          <w:tab w:val="left" w:pos="0"/>
        </w:tabs>
        <w:ind w:left="4980" w:hanging="360"/>
      </w:pPr>
    </w:lvl>
    <w:lvl w:ilvl="7" w:tentative="0">
      <w:start w:val="1"/>
      <w:numFmt w:val="lowerLetter"/>
      <w:lvlText w:val="%8."/>
      <w:lvlJc w:val="left"/>
      <w:pPr>
        <w:tabs>
          <w:tab w:val="left" w:pos="0"/>
        </w:tabs>
        <w:ind w:left="5700" w:hanging="360"/>
      </w:pPr>
    </w:lvl>
    <w:lvl w:ilvl="8" w:tentative="0">
      <w:start w:val="1"/>
      <w:numFmt w:val="lowerRoman"/>
      <w:lvlText w:val="%9."/>
      <w:lvlJc w:val="right"/>
      <w:pPr>
        <w:tabs>
          <w:tab w:val="left" w:pos="0"/>
        </w:tabs>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1572D"/>
    <w:rsid w:val="67A84EF9"/>
    <w:rsid w:val="69A1572D"/>
    <w:rsid w:val="7DCF0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Theme="minorHAnsi" w:hAnsiTheme="minorHAnsi" w:eastAsiaTheme="minorEastAsia" w:cstheme="minorBidi"/>
      <w:sz w:val="22"/>
      <w:szCs w:val="22"/>
      <w:lang w:val="ro-RO" w:eastAsia="ro-RO"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4">
    <w:name w:val="Table Grid12"/>
    <w:basedOn w:val="3"/>
    <w:qFormat/>
    <w:uiPriority w:val="59"/>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2023-07-31T12:31:00Z</dcterms:created>
  <dc:creator>User01</dc:creator>
  <cp:lastModifiedBy>User01</cp:lastModifiedBy>
  <dcterms:modified xsi:type="dcterms:W3CDTF">2023-08-17T07:57:31Z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3958882DA0D6492BA426FD9C10B0B06F</vt:lpwstr>
  </property>
</Properties>
</file>